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1E" w:rsidRDefault="0058171E" w:rsidP="005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NICOTINE INDUCES [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H]-GABA RELEASE VIA NMDA RECEPTORS ACTIVATION IN THE DEVELOPING AVIAN RETINA </w:t>
      </w:r>
    </w:p>
    <w:p w:rsidR="0058171E" w:rsidRDefault="0058171E" w:rsidP="0058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inherit" w:hAnsi="inherit" w:cs="inherit"/>
          <w:color w:val="222222"/>
          <w:sz w:val="42"/>
          <w:szCs w:val="42"/>
        </w:rPr>
      </w:pPr>
    </w:p>
    <w:p w:rsidR="0058171E" w:rsidRDefault="0058171E" w:rsidP="0058171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58171E">
        <w:rPr>
          <w:rFonts w:ascii="Arial" w:eastAsia="Arial" w:hAnsi="Arial" w:cs="Arial"/>
          <w:color w:val="000000"/>
          <w:sz w:val="24"/>
          <w:szCs w:val="24"/>
          <w:u w:val="single"/>
        </w:rPr>
        <w:t>Gonçalves</w:t>
      </w:r>
      <w:proofErr w:type="spellEnd"/>
      <w:r w:rsidRPr="0058171E">
        <w:rPr>
          <w:rFonts w:ascii="Arial" w:eastAsia="Arial" w:hAnsi="Arial" w:cs="Arial"/>
          <w:color w:val="000000"/>
          <w:sz w:val="24"/>
          <w:szCs w:val="24"/>
          <w:u w:val="single"/>
        </w:rPr>
        <w:t>, L.A.C.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58171E">
        <w:rPr>
          <w:rFonts w:ascii="Arial" w:eastAsia="Arial" w:hAnsi="Arial" w:cs="Arial"/>
          <w:color w:val="000000"/>
          <w:sz w:val="24"/>
          <w:szCs w:val="24"/>
        </w:rPr>
        <w:t>Souto</w:t>
      </w:r>
      <w:proofErr w:type="spellEnd"/>
      <w:r w:rsidRPr="0058171E">
        <w:rPr>
          <w:rFonts w:ascii="Arial" w:eastAsia="Arial" w:hAnsi="Arial" w:cs="Arial"/>
          <w:color w:val="000000"/>
          <w:sz w:val="24"/>
          <w:szCs w:val="24"/>
        </w:rPr>
        <w:t>, A.C.</w:t>
      </w:r>
      <w:r w:rsidRPr="0058171E"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 w:rsidR="007623FD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  <w:highlight w:val="white"/>
        </w:rPr>
        <w:t>Borges-Martins, V.P.P.</w:t>
      </w: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  <w:highlight w:val="white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8B00A6">
        <w:rPr>
          <w:rFonts w:ascii="Arial" w:eastAsia="Arial" w:hAnsi="Arial" w:cs="Arial"/>
          <w:color w:val="000000"/>
          <w:sz w:val="24"/>
          <w:szCs w:val="24"/>
        </w:rPr>
        <w:t>Peixoto</w:t>
      </w:r>
      <w:proofErr w:type="spellEnd"/>
      <w:r w:rsidR="008B00A6">
        <w:rPr>
          <w:rFonts w:ascii="Arial" w:eastAsia="Arial" w:hAnsi="Arial" w:cs="Arial"/>
          <w:color w:val="000000"/>
          <w:sz w:val="24"/>
          <w:szCs w:val="24"/>
        </w:rPr>
        <w:t>-Rodrigues, M.C.</w:t>
      </w:r>
      <w:r w:rsidR="004B17E3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8B00A6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proofErr w:type="spellStart"/>
      <w:r w:rsidR="008B00A6">
        <w:rPr>
          <w:rFonts w:ascii="Arial" w:eastAsia="Arial" w:hAnsi="Arial" w:cs="Arial"/>
          <w:color w:val="000000"/>
          <w:sz w:val="24"/>
          <w:szCs w:val="24"/>
        </w:rPr>
        <w:t>Tempone</w:t>
      </w:r>
      <w:proofErr w:type="spellEnd"/>
      <w:r w:rsidR="008B00A6">
        <w:rPr>
          <w:rFonts w:ascii="Arial" w:eastAsia="Arial" w:hAnsi="Arial" w:cs="Arial"/>
          <w:color w:val="000000"/>
          <w:sz w:val="24"/>
          <w:szCs w:val="24"/>
        </w:rPr>
        <w:t xml:space="preserve"> M.H.</w:t>
      </w:r>
      <w:r w:rsidR="004B17E3">
        <w:rPr>
          <w:rFonts w:ascii="Arial" w:eastAsia="Arial" w:hAnsi="Arial" w:cs="Arial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>; Reis, R.A.M.</w:t>
      </w:r>
      <w:r w:rsidR="004B17E3">
        <w:rPr>
          <w:rFonts w:ascii="Arial" w:eastAsia="Arial" w:hAnsi="Arial" w:cs="Arial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 w:rsidR="004B17E3">
        <w:rPr>
          <w:rFonts w:ascii="Arial" w:eastAsia="Arial" w:hAnsi="Arial" w:cs="Arial"/>
          <w:sz w:val="24"/>
          <w:szCs w:val="24"/>
        </w:rPr>
        <w:t>Manhães</w:t>
      </w:r>
      <w:proofErr w:type="spellEnd"/>
      <w:r w:rsidR="004B17E3">
        <w:rPr>
          <w:rFonts w:ascii="Arial" w:eastAsia="Arial" w:hAnsi="Arial" w:cs="Arial"/>
          <w:sz w:val="24"/>
          <w:szCs w:val="24"/>
        </w:rPr>
        <w:t>, A.C.</w:t>
      </w:r>
      <w:r w:rsidR="004B17E3" w:rsidRPr="004B17E3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="004B17E3">
        <w:rPr>
          <w:rFonts w:ascii="Arial" w:eastAsia="Arial" w:hAnsi="Arial" w:cs="Arial"/>
          <w:sz w:val="24"/>
          <w:szCs w:val="24"/>
          <w:vertAlign w:val="superscript"/>
        </w:rPr>
        <w:t>4</w:t>
      </w:r>
      <w:r w:rsidR="004B17E3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>Ventura, A.L.M.</w:t>
      </w:r>
      <w:r w:rsidR="004B17E3">
        <w:rPr>
          <w:rFonts w:ascii="Arial" w:eastAsia="Arial" w:hAnsi="Arial" w:cs="Arial"/>
          <w:sz w:val="24"/>
          <w:szCs w:val="24"/>
          <w:vertAlign w:val="superscript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Kubrusly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R.C.C.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58171E" w:rsidRDefault="0058171E" w:rsidP="0058171E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8171E" w:rsidRDefault="0058171E" w:rsidP="0058171E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bookmarkStart w:id="0" w:name="_heading=h.gjdgxs"/>
      <w:bookmarkEnd w:id="0"/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1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Laboratório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Neurofarmacologia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Departamento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Fisi</w:t>
      </w:r>
      <w:r w:rsidR="004B17E3">
        <w:rPr>
          <w:rFonts w:ascii="Arial" w:eastAsia="Arial" w:hAnsi="Arial" w:cs="Arial"/>
          <w:color w:val="000000"/>
          <w:sz w:val="20"/>
          <w:szCs w:val="20"/>
        </w:rPr>
        <w:t>ologia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Farmacologia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. UFF, RJ.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Laboratório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Neuroplasticidade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Departamento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Neurobiologia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Instituto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Biologia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. UFF, RJ. </w:t>
      </w:r>
      <w:proofErr w:type="gramStart"/>
      <w:r w:rsidR="004B17E3"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3</w:t>
      </w:r>
      <w:proofErr w:type="gramEnd"/>
      <w:r w:rsidR="004B17E3"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Laboratório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Neuroquímica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IBCCF. UFRJ, RJ.</w:t>
      </w:r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4B17E3"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4</w:t>
      </w:r>
      <w:proofErr w:type="gramEnd"/>
      <w:r w:rsidR="004B17E3"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 xml:space="preserve">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Laboratório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 w:rsidR="004B17E3">
        <w:rPr>
          <w:rFonts w:ascii="Arial" w:eastAsia="Arial" w:hAnsi="Arial" w:cs="Arial"/>
          <w:color w:val="000000"/>
          <w:sz w:val="20"/>
          <w:szCs w:val="20"/>
        </w:rPr>
        <w:t>Ne</w:t>
      </w:r>
      <w:r w:rsidR="004B17E3">
        <w:rPr>
          <w:rFonts w:ascii="Arial" w:eastAsia="Arial" w:hAnsi="Arial" w:cs="Arial"/>
          <w:color w:val="000000"/>
          <w:sz w:val="20"/>
          <w:szCs w:val="20"/>
        </w:rPr>
        <w:t>urofisiologia</w:t>
      </w:r>
      <w:proofErr w:type="spellEnd"/>
      <w:r w:rsidR="004B17E3">
        <w:rPr>
          <w:rFonts w:ascii="Arial" w:eastAsia="Arial" w:hAnsi="Arial" w:cs="Arial"/>
          <w:color w:val="000000"/>
          <w:sz w:val="20"/>
          <w:szCs w:val="20"/>
        </w:rPr>
        <w:t xml:space="preserve">. IBRAG. UERJ, RJ. </w:t>
      </w:r>
      <w:proofErr w:type="gramStart"/>
      <w:r w:rsidR="004B17E3"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5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Laboratório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Neuroquímica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Departamento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Neurobiologia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UFF, RJ.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58171E" w:rsidRDefault="0058171E" w:rsidP="0058171E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Introduction:</w:t>
      </w:r>
      <w:r w:rsidR="0013762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Nicotine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is a classical agonist of cholinergic nicotinic receptors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nAChR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). During retinal development, these receptors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are usually expressed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 the retinal layers, playing an important role in GABA circuitry, functioning, and organization.</w:t>
      </w:r>
      <w:r w:rsidR="000C07C5">
        <w:rPr>
          <w:rFonts w:ascii="Arial" w:eastAsia="Arial" w:hAnsi="Arial" w:cs="Arial"/>
          <w:color w:val="000000"/>
          <w:sz w:val="24"/>
          <w:szCs w:val="24"/>
        </w:rPr>
        <w:t xml:space="preserve"> Our</w:t>
      </w:r>
      <w:r w:rsidR="000C07C5">
        <w:rPr>
          <w:rFonts w:ascii="Arial" w:eastAsia="Arial" w:hAnsi="Arial" w:cs="Arial"/>
          <w:color w:val="000000"/>
          <w:sz w:val="24"/>
          <w:szCs w:val="24"/>
        </w:rPr>
        <w:t xml:space="preserve"> aim is to evaluate if an acute stimulation of </w:t>
      </w:r>
      <w:proofErr w:type="spellStart"/>
      <w:r w:rsidR="000C07C5">
        <w:rPr>
          <w:rFonts w:ascii="Arial" w:eastAsia="Arial" w:hAnsi="Arial" w:cs="Arial"/>
          <w:color w:val="000000"/>
          <w:sz w:val="24"/>
          <w:szCs w:val="24"/>
        </w:rPr>
        <w:t>nAChR</w:t>
      </w:r>
      <w:proofErr w:type="spellEnd"/>
      <w:r w:rsidR="000C07C5">
        <w:rPr>
          <w:rFonts w:ascii="Arial" w:eastAsia="Arial" w:hAnsi="Arial" w:cs="Arial"/>
          <w:color w:val="000000"/>
          <w:sz w:val="24"/>
          <w:szCs w:val="24"/>
        </w:rPr>
        <w:t xml:space="preserve"> is able to modulate [</w:t>
      </w:r>
      <w:r w:rsidR="000C07C5"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  <w:r w:rsidR="000C07C5">
        <w:rPr>
          <w:rFonts w:ascii="Arial" w:eastAsia="Arial" w:hAnsi="Arial" w:cs="Arial"/>
          <w:color w:val="000000"/>
          <w:sz w:val="24"/>
          <w:szCs w:val="24"/>
        </w:rPr>
        <w:t>H]-GABA transport in chicken embryos retinas staged E12.</w:t>
      </w: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Methodology:</w:t>
      </w:r>
      <w:r w:rsidR="00E75DF6">
        <w:rPr>
          <w:rFonts w:ascii="Arial" w:eastAsia="Arial" w:hAnsi="Arial" w:cs="Arial"/>
          <w:color w:val="000000"/>
          <w:sz w:val="24"/>
          <w:szCs w:val="24"/>
        </w:rPr>
        <w:t xml:space="preserve"> 96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retinas were used for [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H]-GABA uptake and release assays. They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were conditioned on saline (Control) or exposed 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(Treated)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Initially, we evaluated [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H]-GABA uptake without Na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+</w:t>
      </w:r>
      <w:r w:rsidR="00C40FE3">
        <w:rPr>
          <w:rFonts w:ascii="Arial" w:eastAsia="Arial" w:hAnsi="Arial" w:cs="Arial"/>
          <w:color w:val="000000"/>
          <w:sz w:val="24"/>
          <w:szCs w:val="24"/>
        </w:rPr>
        <w:t>, at 4ºC or after NO-711 (50</w:t>
      </w:r>
      <w:r>
        <w:rPr>
          <w:rFonts w:ascii="Arial" w:eastAsia="Arial" w:hAnsi="Arial" w:cs="Arial"/>
          <w:color w:val="000000"/>
          <w:sz w:val="24"/>
          <w:szCs w:val="24"/>
        </w:rPr>
        <w:t>μM) exposure 5’ before the assay</w:t>
      </w:r>
      <w:r w:rsidRPr="00C40FE3">
        <w:rPr>
          <w:rFonts w:ascii="Arial" w:eastAsia="Arial" w:hAnsi="Arial" w:cs="Arial"/>
          <w:sz w:val="24"/>
          <w:szCs w:val="24"/>
        </w:rPr>
        <w:t xml:space="preserve">. </w:t>
      </w:r>
      <w:r w:rsidR="00FF5AEB" w:rsidRPr="00C40FE3">
        <w:rPr>
          <w:rFonts w:ascii="Arial" w:eastAsia="Arial" w:hAnsi="Arial" w:cs="Arial"/>
          <w:sz w:val="24"/>
          <w:szCs w:val="24"/>
        </w:rPr>
        <w:t>[</w:t>
      </w:r>
      <w:r w:rsidR="00FF5AEB" w:rsidRPr="00C40FE3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FF5AEB" w:rsidRPr="00C40FE3">
        <w:rPr>
          <w:rFonts w:ascii="Arial" w:eastAsia="Arial" w:hAnsi="Arial" w:cs="Arial"/>
          <w:sz w:val="24"/>
          <w:szCs w:val="24"/>
        </w:rPr>
        <w:t>H]-GABA uptake</w:t>
      </w:r>
      <w:r w:rsidR="00FF5AEB" w:rsidRPr="00C40FE3">
        <w:rPr>
          <w:rFonts w:ascii="Arial" w:eastAsia="Arial" w:hAnsi="Arial" w:cs="Arial"/>
          <w:sz w:val="24"/>
          <w:szCs w:val="24"/>
        </w:rPr>
        <w:t xml:space="preserve"> at different times of incubation</w:t>
      </w:r>
      <w:r w:rsidR="000071A8" w:rsidRPr="00C40FE3">
        <w:rPr>
          <w:rFonts w:ascii="Arial" w:eastAsia="Arial" w:hAnsi="Arial" w:cs="Arial"/>
          <w:sz w:val="24"/>
          <w:szCs w:val="24"/>
        </w:rPr>
        <w:t xml:space="preserve"> </w:t>
      </w:r>
      <w:r w:rsidR="000071A8" w:rsidRPr="00C40FE3">
        <w:rPr>
          <w:rFonts w:ascii="Arial" w:eastAsia="Arial" w:hAnsi="Arial" w:cs="Arial"/>
          <w:sz w:val="24"/>
          <w:szCs w:val="24"/>
        </w:rPr>
        <w:t>(5’, 10’, 15’ and 30’)</w:t>
      </w:r>
      <w:r w:rsidR="00FF5AEB" w:rsidRPr="00C40FE3">
        <w:rPr>
          <w:rFonts w:ascii="Arial" w:eastAsia="Arial" w:hAnsi="Arial" w:cs="Arial"/>
          <w:sz w:val="24"/>
          <w:szCs w:val="24"/>
        </w:rPr>
        <w:t xml:space="preserve"> with </w:t>
      </w:r>
      <w:proofErr w:type="spellStart"/>
      <w:r w:rsidR="00C40FE3" w:rsidRPr="00C40FE3">
        <w:rPr>
          <w:rFonts w:ascii="Arial" w:eastAsia="Arial" w:hAnsi="Arial" w:cs="Arial"/>
          <w:sz w:val="24"/>
          <w:szCs w:val="24"/>
        </w:rPr>
        <w:t>Nic</w:t>
      </w:r>
      <w:proofErr w:type="spellEnd"/>
      <w:r w:rsidR="00C40FE3" w:rsidRPr="00C40FE3">
        <w:rPr>
          <w:rFonts w:ascii="Arial" w:eastAsia="Arial" w:hAnsi="Arial" w:cs="Arial"/>
          <w:sz w:val="24"/>
          <w:szCs w:val="24"/>
        </w:rPr>
        <w:t xml:space="preserve"> 50</w:t>
      </w:r>
      <w:r w:rsidR="00FF5AEB" w:rsidRPr="00C40FE3">
        <w:rPr>
          <w:rFonts w:ascii="Arial" w:eastAsia="Arial" w:hAnsi="Arial" w:cs="Arial"/>
          <w:sz w:val="24"/>
          <w:szCs w:val="24"/>
        </w:rPr>
        <w:t>µM</w:t>
      </w:r>
      <w:r w:rsidR="000071A8" w:rsidRPr="00C40FE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0071A8" w:rsidRPr="00C40FE3">
        <w:rPr>
          <w:rFonts w:ascii="Arial" w:eastAsia="Arial" w:hAnsi="Arial" w:cs="Arial"/>
          <w:sz w:val="24"/>
          <w:szCs w:val="24"/>
        </w:rPr>
        <w:t>was also evaluated</w:t>
      </w:r>
      <w:proofErr w:type="gramEnd"/>
      <w:r w:rsidR="00FF5AEB" w:rsidRPr="00C40FE3">
        <w:rPr>
          <w:rFonts w:ascii="Arial" w:eastAsia="Arial" w:hAnsi="Arial" w:cs="Arial"/>
          <w:sz w:val="24"/>
          <w:szCs w:val="24"/>
        </w:rPr>
        <w:t xml:space="preserve">. </w:t>
      </w:r>
      <w:r w:rsidR="00FF5AEB">
        <w:rPr>
          <w:rFonts w:ascii="Arial" w:eastAsia="Arial" w:hAnsi="Arial" w:cs="Arial"/>
          <w:color w:val="000000"/>
          <w:sz w:val="24"/>
          <w:szCs w:val="24"/>
        </w:rPr>
        <w:t xml:space="preserve">We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performed a temporal (1’, 5’, 10’, 30’, and 60’)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</w:t>
      </w:r>
      <w:r w:rsidR="00C40FE3">
        <w:rPr>
          <w:rFonts w:ascii="Arial" w:eastAsia="Arial" w:hAnsi="Arial" w:cs="Arial"/>
          <w:color w:val="000000"/>
          <w:sz w:val="24"/>
          <w:szCs w:val="24"/>
        </w:rPr>
        <w:t>ic</w:t>
      </w:r>
      <w:proofErr w:type="spellEnd"/>
      <w:r w:rsidR="00C40FE3">
        <w:rPr>
          <w:rFonts w:ascii="Arial" w:eastAsia="Arial" w:hAnsi="Arial" w:cs="Arial"/>
          <w:color w:val="000000"/>
          <w:sz w:val="24"/>
          <w:szCs w:val="24"/>
        </w:rPr>
        <w:t xml:space="preserve"> concentration (1, 10, and 50</w:t>
      </w:r>
      <w:r>
        <w:rPr>
          <w:rFonts w:ascii="Arial" w:eastAsia="Arial" w:hAnsi="Arial" w:cs="Arial"/>
          <w:color w:val="000000"/>
          <w:sz w:val="24"/>
          <w:szCs w:val="24"/>
        </w:rPr>
        <w:t>µM) curve. [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H]-GABA release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was performed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 both gr</w:t>
      </w:r>
      <w:r w:rsidR="00C40FE3">
        <w:rPr>
          <w:rFonts w:ascii="Arial" w:eastAsia="Arial" w:hAnsi="Arial" w:cs="Arial"/>
          <w:color w:val="000000"/>
          <w:sz w:val="24"/>
          <w:szCs w:val="24"/>
        </w:rPr>
        <w:t>oups with or without MK-801 (50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μM). One-way ANOVA followed by Bonferroni post-test were performed for results with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 more groups and unpaired t-test for results with 2 groups. Data were represented as mean ± SEM, </w:t>
      </w:r>
      <w:proofErr w:type="gramStart"/>
      <w:r w:rsidR="00024D40">
        <w:rPr>
          <w:rFonts w:ascii="Arial" w:eastAsia="Arial" w:hAnsi="Arial" w:cs="Arial"/>
          <w:color w:val="000000"/>
          <w:sz w:val="24"/>
          <w:szCs w:val="24"/>
        </w:rPr>
        <w:t>%</w:t>
      </w:r>
      <w:proofErr w:type="gramEnd"/>
      <w:r w:rsidR="00024D40">
        <w:rPr>
          <w:rFonts w:ascii="Arial" w:eastAsia="Arial" w:hAnsi="Arial" w:cs="Arial"/>
          <w:color w:val="000000"/>
          <w:sz w:val="24"/>
          <w:szCs w:val="24"/>
        </w:rPr>
        <w:t xml:space="preserve"> of the control group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in % of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Statistical significance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was achiev</w:t>
      </w:r>
      <w:r w:rsidR="00C40FE3">
        <w:rPr>
          <w:rFonts w:ascii="Arial" w:eastAsia="Arial" w:hAnsi="Arial" w:cs="Arial"/>
          <w:color w:val="000000"/>
          <w:sz w:val="24"/>
          <w:szCs w:val="24"/>
        </w:rPr>
        <w:t>ed</w:t>
      </w:r>
      <w:proofErr w:type="gramEnd"/>
      <w:r w:rsidR="00C40FE3">
        <w:rPr>
          <w:rFonts w:ascii="Arial" w:eastAsia="Arial" w:hAnsi="Arial" w:cs="Arial"/>
          <w:color w:val="000000"/>
          <w:sz w:val="24"/>
          <w:szCs w:val="24"/>
        </w:rPr>
        <w:t xml:space="preserve"> at p &lt; 0.05. The project </w:t>
      </w:r>
      <w:proofErr w:type="gramStart"/>
      <w:r w:rsidR="00C40FE3">
        <w:rPr>
          <w:rFonts w:ascii="Arial" w:eastAsia="Arial" w:hAnsi="Arial" w:cs="Arial"/>
          <w:color w:val="000000"/>
          <w:sz w:val="24"/>
          <w:szCs w:val="24"/>
        </w:rPr>
        <w:t xml:space="preserve">was </w:t>
      </w:r>
      <w:r>
        <w:rPr>
          <w:rFonts w:ascii="Arial" w:eastAsia="Arial" w:hAnsi="Arial" w:cs="Arial"/>
          <w:color w:val="000000"/>
          <w:sz w:val="24"/>
          <w:szCs w:val="24"/>
        </w:rPr>
        <w:t>approved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 CEUA#IBCCF038/19.</w:t>
      </w: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8171E" w:rsidRPr="00E75DF6" w:rsidRDefault="0058171E" w:rsidP="00027424">
      <w:pPr>
        <w:pStyle w:val="Legenda"/>
        <w:spacing w:after="120"/>
        <w:ind w:right="-1"/>
        <w:jc w:val="both"/>
        <w:rPr>
          <w:rFonts w:ascii="Arial" w:eastAsia="Arial" w:hAnsi="Arial" w:cs="Arial"/>
          <w:i w:val="0"/>
          <w:color w:val="C00000"/>
          <w:sz w:val="24"/>
          <w:szCs w:val="24"/>
        </w:rPr>
      </w:pPr>
      <w:r w:rsidRPr="007702E5">
        <w:rPr>
          <w:rFonts w:ascii="Arial" w:eastAsia="Arial" w:hAnsi="Arial" w:cs="Arial"/>
          <w:b/>
          <w:i w:val="0"/>
          <w:color w:val="000000"/>
          <w:sz w:val="24"/>
          <w:szCs w:val="24"/>
        </w:rPr>
        <w:t>Results:</w:t>
      </w:r>
      <w:r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We observed that in the absence </w:t>
      </w:r>
      <w:proofErr w:type="gram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of Na</w:t>
      </w:r>
      <w:proofErr w:type="gramEnd"/>
      <w:r w:rsidRPr="007702E5">
        <w:rPr>
          <w:rFonts w:ascii="Arial" w:eastAsia="Arial" w:hAnsi="Arial" w:cs="Arial"/>
          <w:i w:val="0"/>
          <w:color w:val="auto"/>
          <w:sz w:val="24"/>
          <w:szCs w:val="24"/>
          <w:vertAlign w:val="superscript"/>
        </w:rPr>
        <w:t>+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ions, low temperature or in the presence of NO-711, [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  <w:vertAlign w:val="superscript"/>
        </w:rPr>
        <w:t>3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H]-GABA uptake was completely blocke</w:t>
      </w:r>
      <w:r w:rsidR="001D5BF0" w:rsidRPr="007702E5">
        <w:rPr>
          <w:rFonts w:ascii="Arial" w:eastAsia="Arial" w:hAnsi="Arial" w:cs="Arial"/>
          <w:i w:val="0"/>
          <w:color w:val="auto"/>
          <w:sz w:val="24"/>
          <w:szCs w:val="24"/>
        </w:rPr>
        <w:t>d (</w:t>
      </w:r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Ctrl=99,83% </w:t>
      </w:r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>±</w:t>
      </w:r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5,11</w:t>
      </w:r>
      <w:r w:rsidR="001D5BF0" w:rsidRPr="007702E5">
        <w:rPr>
          <w:rFonts w:ascii="Arial" w:eastAsia="Arial" w:hAnsi="Arial" w:cs="Arial"/>
          <w:i w:val="0"/>
          <w:color w:val="auto"/>
          <w:sz w:val="24"/>
          <w:szCs w:val="24"/>
        </w:rPr>
        <w:t>, without Na+=</w:t>
      </w:r>
      <w:r w:rsidR="001D5BF0" w:rsidRPr="007702E5">
        <w:rPr>
          <w:rFonts w:ascii="Arial" w:hAnsi="Arial" w:cs="Arial"/>
          <w:i w:val="0"/>
          <w:color w:val="auto"/>
          <w:sz w:val="24"/>
          <w:szCs w:val="24"/>
        </w:rPr>
        <w:t>12,76% ± 1,36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, 4ºC=</w:t>
      </w:r>
      <w:r w:rsidR="001D5BF0" w:rsidRPr="007702E5">
        <w:rPr>
          <w:rFonts w:ascii="Arial" w:hAnsi="Arial" w:cs="Arial"/>
          <w:i w:val="0"/>
          <w:color w:val="auto"/>
          <w:sz w:val="24"/>
          <w:szCs w:val="24"/>
        </w:rPr>
        <w:t>9,56% ± 2,91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, NO-711=</w:t>
      </w:r>
      <w:r w:rsidR="001D5BF0" w:rsidRPr="007702E5">
        <w:rPr>
          <w:rFonts w:ascii="Arial" w:hAnsi="Arial" w:cs="Arial"/>
          <w:i w:val="0"/>
          <w:color w:val="auto"/>
          <w:sz w:val="24"/>
          <w:szCs w:val="24"/>
        </w:rPr>
        <w:t>25,68% ± 1,77</w:t>
      </w:r>
      <w:r w:rsidR="00C40FE3">
        <w:rPr>
          <w:rFonts w:ascii="Arial" w:hAnsi="Arial" w:cs="Arial"/>
          <w:i w:val="0"/>
          <w:color w:val="auto"/>
          <w:sz w:val="24"/>
          <w:szCs w:val="24"/>
        </w:rPr>
        <w:t xml:space="preserve">; </w:t>
      </w:r>
      <w:r w:rsidR="00027424" w:rsidRPr="007702E5">
        <w:rPr>
          <w:rFonts w:ascii="Arial" w:hAnsi="Arial" w:cs="Arial"/>
          <w:i w:val="0"/>
          <w:color w:val="auto"/>
          <w:sz w:val="24"/>
          <w:szCs w:val="24"/>
        </w:rPr>
        <w:t>%</w:t>
      </w:r>
      <w:r w:rsidR="00554EF5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554EF5">
        <w:rPr>
          <w:rFonts w:ascii="Arial" w:hAnsi="Arial" w:cs="Arial"/>
          <w:i w:val="0"/>
          <w:color w:val="auto"/>
          <w:sz w:val="24"/>
          <w:szCs w:val="24"/>
        </w:rPr>
        <w:t>of</w:t>
      </w:r>
      <w:proofErr w:type="spellEnd"/>
      <w:r w:rsidR="00554EF5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554EF5">
        <w:rPr>
          <w:rFonts w:ascii="Arial" w:hAnsi="Arial" w:cs="Arial"/>
          <w:i w:val="0"/>
          <w:color w:val="auto"/>
          <w:sz w:val="24"/>
          <w:szCs w:val="24"/>
        </w:rPr>
        <w:t>control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; p &lt; 0.05, n=4).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Further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we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analyzed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GABA uptake in the presence of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(1, 10 and 50 µM). We observed that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50</w:t>
      </w:r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>µM was able to inhibit 47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% of [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  <w:vertAlign w:val="superscript"/>
        </w:rPr>
        <w:t>3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H]-GABA uptake (</w:t>
      </w:r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>Ctrl=99,83% ± 5,11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1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µM=</w:t>
      </w:r>
      <w:r w:rsidR="007D5756" w:rsidRPr="007702E5">
        <w:rPr>
          <w:rFonts w:ascii="Arial" w:hAnsi="Arial" w:cs="Arial"/>
          <w:i w:val="0"/>
          <w:color w:val="auto"/>
          <w:sz w:val="24"/>
          <w:szCs w:val="24"/>
        </w:rPr>
        <w:t>103,5% ± 7,83</w:t>
      </w:r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, Nic10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µM=</w:t>
      </w:r>
      <w:r w:rsidR="007D5756" w:rsidRPr="007702E5">
        <w:rPr>
          <w:rFonts w:ascii="Arial" w:hAnsi="Arial" w:cs="Arial"/>
          <w:i w:val="0"/>
          <w:color w:val="auto"/>
          <w:sz w:val="24"/>
          <w:szCs w:val="24"/>
        </w:rPr>
        <w:t>109% ± 4,03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r w:rsidR="001D5BF0" w:rsidRPr="007702E5">
        <w:rPr>
          <w:rFonts w:ascii="Arial" w:eastAsia="Arial" w:hAnsi="Arial" w:cs="Arial"/>
          <w:i w:val="0"/>
          <w:color w:val="auto"/>
          <w:sz w:val="24"/>
          <w:szCs w:val="24"/>
        </w:rPr>
        <w:t>50 µM=</w:t>
      </w:r>
      <w:r w:rsidR="007D5756" w:rsidRPr="007702E5">
        <w:rPr>
          <w:rFonts w:ascii="Arial" w:hAnsi="Arial" w:cs="Arial"/>
          <w:i w:val="0"/>
          <w:color w:val="auto"/>
          <w:sz w:val="24"/>
          <w:szCs w:val="24"/>
        </w:rPr>
        <w:t>53,83% ± 3,05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; </w:t>
      </w:r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%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of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control</w:t>
      </w:r>
      <w:proofErr w:type="spellEnd"/>
      <w:r w:rsidR="00045E4B"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; 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p &lt; 0.05, n=4).</w:t>
      </w:r>
      <w:r w:rsidR="00045E4B"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In 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addition</w:t>
      </w:r>
      <w:proofErr w:type="spellEnd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w</w:t>
      </w:r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e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observed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that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50</w:t>
      </w:r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µM</w:t>
      </w:r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was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able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to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>r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educe</w:t>
      </w:r>
      <w:proofErr w:type="spellEnd"/>
      <w:r w:rsidR="004114BC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r w:rsidR="004114BC" w:rsidRPr="00C40FE3">
        <w:rPr>
          <w:rFonts w:ascii="Arial" w:hAnsi="Arial" w:cs="Arial"/>
          <w:i w:val="0"/>
          <w:iCs w:val="0"/>
          <w:color w:val="auto"/>
          <w:sz w:val="24"/>
          <w:szCs w:val="24"/>
        </w:rPr>
        <w:t>[</w:t>
      </w:r>
      <w:r w:rsidR="004114BC" w:rsidRPr="00C40FE3">
        <w:rPr>
          <w:rFonts w:ascii="Arial" w:hAnsi="Arial" w:cs="Arial"/>
          <w:i w:val="0"/>
          <w:iCs w:val="0"/>
          <w:color w:val="auto"/>
          <w:sz w:val="24"/>
          <w:szCs w:val="24"/>
          <w:vertAlign w:val="superscript"/>
        </w:rPr>
        <w:t>3</w:t>
      </w:r>
      <w:r w:rsidR="004114BC" w:rsidRPr="00C40FE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H]-GABA 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uptake</w:t>
      </w:r>
      <w:proofErr w:type="spellEnd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after</w:t>
      </w:r>
      <w:proofErr w:type="spellEnd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10 minutes 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of</w:t>
      </w:r>
      <w:proofErr w:type="spellEnd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incubation</w:t>
      </w:r>
      <w:proofErr w:type="spellEnd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(</w:t>
      </w:r>
      <w:proofErr w:type="spellStart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Ctrl</w:t>
      </w:r>
      <w:proofErr w:type="spellEnd"/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=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99,83% ± 5,11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5’=</w:t>
      </w:r>
      <w:r w:rsidR="00E75DF6" w:rsidRPr="00C40FE3">
        <w:rPr>
          <w:rFonts w:ascii="Arial" w:eastAsia="Arial" w:hAnsi="Arial" w:cs="Arial"/>
          <w:i w:val="0"/>
          <w:color w:val="auto"/>
          <w:sz w:val="24"/>
          <w:szCs w:val="24"/>
        </w:rPr>
        <w:t>113,10 ± 6,62%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, 10’=</w:t>
      </w:r>
      <w:r w:rsidR="00E75DF6" w:rsidRPr="00C40FE3">
        <w:rPr>
          <w:rFonts w:ascii="Arial" w:eastAsia="Arial" w:hAnsi="Arial" w:cs="Arial"/>
          <w:i w:val="0"/>
          <w:color w:val="auto"/>
          <w:sz w:val="24"/>
          <w:szCs w:val="24"/>
        </w:rPr>
        <w:t>59,41 ± 8,64%, 15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’=</w:t>
      </w:r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>59,25 ± 9,74</w:t>
      </w:r>
      <w:r w:rsidR="00E75DF6" w:rsidRPr="00C40FE3">
        <w:rPr>
          <w:rFonts w:ascii="Arial" w:eastAsia="Arial" w:hAnsi="Arial" w:cs="Arial"/>
          <w:i w:val="0"/>
          <w:color w:val="auto"/>
          <w:sz w:val="24"/>
          <w:szCs w:val="24"/>
        </w:rPr>
        <w:t>%, 30’=</w:t>
      </w:r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>53,83 ± 3,05</w:t>
      </w:r>
      <w:r w:rsidR="00E75DF6" w:rsidRPr="00C40FE3">
        <w:rPr>
          <w:rFonts w:ascii="Arial" w:eastAsia="Arial" w:hAnsi="Arial" w:cs="Arial"/>
          <w:i w:val="0"/>
          <w:color w:val="auto"/>
          <w:sz w:val="24"/>
          <w:szCs w:val="24"/>
        </w:rPr>
        <w:t>%</w:t>
      </w:r>
      <w:r w:rsidR="00554EF5" w:rsidRPr="00C40FE3">
        <w:rPr>
          <w:rFonts w:ascii="Arial" w:eastAsia="Arial" w:hAnsi="Arial" w:cs="Arial"/>
          <w:i w:val="0"/>
          <w:color w:val="auto"/>
          <w:sz w:val="24"/>
          <w:szCs w:val="24"/>
        </w:rPr>
        <w:t>;</w:t>
      </w:r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% </w:t>
      </w:r>
      <w:proofErr w:type="spellStart"/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>of</w:t>
      </w:r>
      <w:proofErr w:type="spellEnd"/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>control</w:t>
      </w:r>
      <w:proofErr w:type="spellEnd"/>
      <w:r w:rsidR="00E75DF6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; p &lt; </w:t>
      </w:r>
      <w:r w:rsidR="00C40FE3" w:rsidRPr="00C40FE3">
        <w:rPr>
          <w:rFonts w:ascii="Arial" w:eastAsia="Arial" w:hAnsi="Arial" w:cs="Arial"/>
          <w:i w:val="0"/>
          <w:color w:val="auto"/>
          <w:sz w:val="24"/>
          <w:szCs w:val="24"/>
        </w:rPr>
        <w:t>0.05</w:t>
      </w:r>
      <w:r w:rsidR="00E75DF6" w:rsidRP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, n=3-6). </w:t>
      </w:r>
      <w:r w:rsidR="007702E5" w:rsidRPr="004114BC">
        <w:rPr>
          <w:rFonts w:ascii="Arial" w:eastAsia="Arial" w:hAnsi="Arial" w:cs="Arial"/>
          <w:i w:val="0"/>
          <w:color w:val="auto"/>
          <w:sz w:val="24"/>
          <w:szCs w:val="24"/>
        </w:rPr>
        <w:t xml:space="preserve">The </w:t>
      </w:r>
      <w:proofErr w:type="spellStart"/>
      <w:r w:rsidR="007702E5" w:rsidRPr="004114BC">
        <w:rPr>
          <w:rFonts w:ascii="Arial" w:eastAsia="Arial" w:hAnsi="Arial" w:cs="Arial"/>
          <w:i w:val="0"/>
          <w:color w:val="auto"/>
          <w:sz w:val="24"/>
          <w:szCs w:val="24"/>
        </w:rPr>
        <w:t>uptake</w:t>
      </w:r>
      <w:proofErr w:type="spellEnd"/>
      <w:r w:rsidR="007702E5" w:rsidRPr="004114BC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7702E5" w:rsidRPr="004114BC">
        <w:rPr>
          <w:rFonts w:ascii="Arial" w:eastAsia="Arial" w:hAnsi="Arial" w:cs="Arial"/>
          <w:i w:val="0"/>
          <w:color w:val="auto"/>
          <w:sz w:val="24"/>
          <w:szCs w:val="24"/>
        </w:rPr>
        <w:t>of</w:t>
      </w:r>
      <w:proofErr w:type="spellEnd"/>
      <w:r w:rsidR="007702E5" w:rsidRPr="004114BC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r w:rsidR="00027424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[</w:t>
      </w:r>
      <w:r w:rsidR="00027424" w:rsidRPr="004114BC">
        <w:rPr>
          <w:rFonts w:ascii="Arial" w:hAnsi="Arial" w:cs="Arial"/>
          <w:i w:val="0"/>
          <w:iCs w:val="0"/>
          <w:color w:val="auto"/>
          <w:sz w:val="24"/>
          <w:szCs w:val="24"/>
          <w:vertAlign w:val="superscript"/>
        </w:rPr>
        <w:t>3</w:t>
      </w:r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H]-GABA </w:t>
      </w:r>
      <w:proofErr w:type="spellStart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of</w:t>
      </w:r>
      <w:proofErr w:type="spellEnd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the</w:t>
      </w:r>
      <w:proofErr w:type="spellEnd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control</w:t>
      </w:r>
      <w:proofErr w:type="spellEnd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4114BC">
        <w:rPr>
          <w:rFonts w:ascii="Arial" w:hAnsi="Arial" w:cs="Arial"/>
          <w:i w:val="0"/>
          <w:iCs w:val="0"/>
          <w:color w:val="auto"/>
          <w:sz w:val="24"/>
          <w:szCs w:val="24"/>
        </w:rPr>
        <w:t>group</w:t>
      </w:r>
      <w:proofErr w:type="spellEnd"/>
      <w:r w:rsid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was</w:t>
      </w:r>
      <w:proofErr w:type="spellEnd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approximately</w:t>
      </w:r>
      <w:proofErr w:type="spellEnd"/>
      <w:r w:rsidR="007702E5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r w:rsidR="00045E4B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209 </w:t>
      </w:r>
      <w:proofErr w:type="spellStart"/>
      <w:r w:rsidR="00045E4B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fmol</w:t>
      </w:r>
      <w:proofErr w:type="spellEnd"/>
      <w:r w:rsidR="00045E4B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/mg/hour)</w:t>
      </w:r>
      <w:r w:rsidR="00027424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>.</w:t>
      </w:r>
      <w:r w:rsidR="00027424" w:rsidRPr="004114BC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We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also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noticed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that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after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30’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the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temporal curve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reached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an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equilibrium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of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[</w:t>
      </w:r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  <w:vertAlign w:val="superscript"/>
        </w:rPr>
        <w:t>3</w:t>
      </w:r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H]-GABA 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uptake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(1’=8±8, 5’=35±7, 10’=58±2, 30’=179±22, 60’=165±24, (</w:t>
      </w:r>
      <w:proofErr w:type="spellStart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fmol</w:t>
      </w:r>
      <w:proofErr w:type="spellEnd"/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>/mg/hour); p &lt; 0.05, n=8).</w:t>
      </w:r>
      <w:r w:rsidR="00045E4B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27424" w:rsidRPr="007702E5">
        <w:rPr>
          <w:rFonts w:ascii="Arial" w:eastAsia="Arial" w:hAnsi="Arial" w:cs="Arial"/>
          <w:i w:val="0"/>
          <w:color w:val="000000"/>
          <w:sz w:val="24"/>
          <w:szCs w:val="24"/>
        </w:rPr>
        <w:t>On</w:t>
      </w:r>
      <w:proofErr w:type="spellEnd"/>
      <w:r w:rsidR="00027424" w:rsidRPr="007702E5">
        <w:rPr>
          <w:rFonts w:ascii="Arial" w:eastAsia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>the</w:t>
      </w:r>
      <w:proofErr w:type="spellEnd"/>
      <w:r w:rsidR="00027424"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other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hand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50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µM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lastRenderedPageBreak/>
        <w:t>enhanced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in more than twofold the [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  <w:vertAlign w:val="superscript"/>
        </w:rPr>
        <w:t>3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H]-GABA release (Ctrl=</w:t>
      </w:r>
      <w:r w:rsidR="0037384C" w:rsidRPr="007702E5">
        <w:rPr>
          <w:rFonts w:ascii="Arial" w:hAnsi="Arial" w:cs="Arial"/>
          <w:i w:val="0"/>
          <w:color w:val="auto"/>
          <w:sz w:val="24"/>
          <w:szCs w:val="24"/>
        </w:rPr>
        <w:t>0,92 ± 0,10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=</w:t>
      </w:r>
      <w:r w:rsidR="0037384C" w:rsidRPr="007702E5">
        <w:rPr>
          <w:rFonts w:ascii="Arial" w:hAnsi="Arial" w:cs="Arial"/>
          <w:i w:val="0"/>
          <w:color w:val="auto"/>
          <w:sz w:val="24"/>
          <w:szCs w:val="24"/>
        </w:rPr>
        <w:t>2,01 ± 0,11</w:t>
      </w:r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; %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of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total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; p &lt; 0.05, n=4). Surprisingly, MK-801 was able to prevent the effect of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 in [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  <w:vertAlign w:val="superscript"/>
        </w:rPr>
        <w:t>3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H]-GABA release, turning it into similar control values (Ctrl=</w:t>
      </w:r>
      <w:r w:rsidR="0042719B" w:rsidRPr="007702E5">
        <w:rPr>
          <w:rFonts w:ascii="Arial" w:hAnsi="Arial" w:cs="Arial"/>
          <w:i w:val="0"/>
          <w:color w:val="auto"/>
          <w:sz w:val="24"/>
          <w:szCs w:val="24"/>
        </w:rPr>
        <w:t>0,92 ± 0,10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, MK-801=</w:t>
      </w:r>
      <w:r w:rsidR="0042719B" w:rsidRPr="007702E5">
        <w:rPr>
          <w:rFonts w:ascii="Arial" w:hAnsi="Arial" w:cs="Arial"/>
          <w:i w:val="0"/>
          <w:color w:val="auto"/>
          <w:sz w:val="24"/>
          <w:szCs w:val="24"/>
        </w:rPr>
        <w:t>0,87 ± 0,10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,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=</w:t>
      </w:r>
      <w:r w:rsidR="0042719B" w:rsidRPr="007702E5">
        <w:rPr>
          <w:rFonts w:ascii="Arial" w:hAnsi="Arial" w:cs="Arial"/>
          <w:i w:val="0"/>
          <w:color w:val="auto"/>
          <w:sz w:val="24"/>
          <w:szCs w:val="24"/>
        </w:rPr>
        <w:t>2,01 ± 0,11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, MK-801 + </w:t>
      </w:r>
      <w:proofErr w:type="spellStart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Nic</w:t>
      </w:r>
      <w:proofErr w:type="spellEnd"/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>=</w:t>
      </w:r>
      <w:r w:rsidR="0042719B" w:rsidRPr="007702E5">
        <w:rPr>
          <w:rFonts w:ascii="Arial" w:hAnsi="Arial" w:cs="Arial"/>
          <w:i w:val="0"/>
          <w:color w:val="auto"/>
          <w:sz w:val="24"/>
          <w:szCs w:val="24"/>
        </w:rPr>
        <w:t>0,68 ± 0,10</w:t>
      </w:r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; % </w:t>
      </w:r>
      <w:proofErr w:type="spellStart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>of</w:t>
      </w:r>
      <w:proofErr w:type="spellEnd"/>
      <w:r w:rsidR="00C40FE3">
        <w:rPr>
          <w:rFonts w:ascii="Arial" w:eastAsia="Arial" w:hAnsi="Arial" w:cs="Arial"/>
          <w:i w:val="0"/>
          <w:color w:val="auto"/>
          <w:sz w:val="24"/>
          <w:szCs w:val="24"/>
        </w:rPr>
        <w:t xml:space="preserve"> total</w:t>
      </w:r>
      <w:r w:rsidRPr="007702E5">
        <w:rPr>
          <w:rFonts w:ascii="Arial" w:eastAsia="Arial" w:hAnsi="Arial" w:cs="Arial"/>
          <w:i w:val="0"/>
          <w:color w:val="auto"/>
          <w:sz w:val="24"/>
          <w:szCs w:val="24"/>
        </w:rPr>
        <w:t xml:space="preserve">; p &lt; 0.05, n=4). </w:t>
      </w: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Conclusion: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We conclude that GABA uptake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 mediated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by GAT-1 and this transporter can be modulated by nicotinic receptors since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was able to regulate GABA uptake and release. Moreover, we also identified that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acute exposure was able to release [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H]-GABA via NMDA receptors activation. </w:t>
      </w:r>
    </w:p>
    <w:p w:rsidR="00E8774D" w:rsidRDefault="00E8774D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8774D" w:rsidRDefault="00E8774D" w:rsidP="00E8774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Financial support: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CNPq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FAPERJ,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Proppi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-UFF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8774D" w:rsidRDefault="00E8774D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8171E" w:rsidRDefault="0058171E" w:rsidP="0058171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B2F3A" w:rsidRDefault="00EB2F3A"/>
    <w:sectPr w:rsidR="00EB2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1E"/>
    <w:rsid w:val="000071A8"/>
    <w:rsid w:val="00024D40"/>
    <w:rsid w:val="00027424"/>
    <w:rsid w:val="00045E4B"/>
    <w:rsid w:val="000B0C56"/>
    <w:rsid w:val="000C07C5"/>
    <w:rsid w:val="00137629"/>
    <w:rsid w:val="00167F6E"/>
    <w:rsid w:val="001D5BF0"/>
    <w:rsid w:val="001D6A99"/>
    <w:rsid w:val="001F30F8"/>
    <w:rsid w:val="0037384C"/>
    <w:rsid w:val="004114BC"/>
    <w:rsid w:val="0042719B"/>
    <w:rsid w:val="004B17E3"/>
    <w:rsid w:val="00554EF5"/>
    <w:rsid w:val="0058171E"/>
    <w:rsid w:val="0064036A"/>
    <w:rsid w:val="006810F7"/>
    <w:rsid w:val="006A43F4"/>
    <w:rsid w:val="007623FD"/>
    <w:rsid w:val="007702E5"/>
    <w:rsid w:val="007D5756"/>
    <w:rsid w:val="008B00A6"/>
    <w:rsid w:val="00AF1AF5"/>
    <w:rsid w:val="00B05DDB"/>
    <w:rsid w:val="00C30BE6"/>
    <w:rsid w:val="00C40FE3"/>
    <w:rsid w:val="00E53823"/>
    <w:rsid w:val="00E75DF6"/>
    <w:rsid w:val="00E8774D"/>
    <w:rsid w:val="00EB2F3A"/>
    <w:rsid w:val="00F1109C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5676-475D-4691-A407-22C34EEB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1E"/>
    <w:pPr>
      <w:spacing w:line="256" w:lineRule="auto"/>
    </w:pPr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27424"/>
    <w:pPr>
      <w:spacing w:after="200" w:line="240" w:lineRule="auto"/>
    </w:pPr>
    <w:rPr>
      <w:i/>
      <w:iCs/>
      <w:color w:val="44546A" w:themeColor="text2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Lyslie</dc:creator>
  <cp:keywords/>
  <dc:description/>
  <cp:lastModifiedBy>Lyslie</cp:lastModifiedBy>
  <cp:revision>25</cp:revision>
  <dcterms:created xsi:type="dcterms:W3CDTF">2021-07-06T13:47:00Z</dcterms:created>
  <dcterms:modified xsi:type="dcterms:W3CDTF">2021-07-09T23:14:00Z</dcterms:modified>
</cp:coreProperties>
</file>