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EB3B2" w14:textId="6EDB8F1E" w:rsidR="004516D9" w:rsidRPr="000430B5" w:rsidRDefault="000430B5" w:rsidP="000430B5">
      <w:pPr>
        <w:jc w:val="both"/>
        <w:rPr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Introduction: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Encephalon malignant neoplasia (EMN) is a harmful type of </w:t>
      </w:r>
      <w:proofErr w:type="gram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cancer</w:t>
      </w:r>
      <w:proofErr w:type="gram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and its most aggressive phenotypes lead patients to decease in 12-18 months even after all state of art therapies, that remain inefficient and expensive to patients, families, and health systems. The aim of this work was to analyze Brazilian Sistema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Único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Saúde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(SUS), the national public health system, expenditures regarding EMN patients compared to all neoplasia patients in a decade (2008 to 2017).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Methodology and resources: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data were collected from SUS bench data DATASUS and analyzed from 2008 to 2017 regarding EMN and general neoplasia concerning (</w:t>
      </w:r>
      <w:r>
        <w:rPr>
          <w:rFonts w:ascii="Times New Roman" w:hAnsi="Times New Roman" w:cs="Times New Roman"/>
          <w:sz w:val="24"/>
          <w:szCs w:val="24"/>
          <w:lang w:val="en-US"/>
        </w:rPr>
        <w:t>per month)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t</w:t>
      </w:r>
      <w:r>
        <w:rPr>
          <w:rFonts w:ascii="Times New Roman" w:hAnsi="Times New Roman" w:cs="Times New Roman"/>
          <w:sz w:val="24"/>
          <w:szCs w:val="24"/>
          <w:lang w:val="en-US"/>
        </w:rPr>
        <w:t>otal expenditure value; number of hospitalizations; mean hospitalization value; mean of permanence time per month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and death rate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Results: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More than 0,3% of SUS costs were directed to EMN patients, although they represent 0,1% of total hospitalizations. Mean EMN patients hospitalization value was almost 80% higher compared to general neoplasia patients and hospitalization time was twice-fold compared to general neoplasia patients. Moreover, EMN patients had a death rate almost four-time fold general neoplasia patients.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Discussion and conclusion: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EMN therapies remained expensive and lacked efficacy by the evaluated time with disproportional SUS cost percentages for these patients.  </w:t>
      </w:r>
    </w:p>
    <w:sectPr w:rsidR="004516D9" w:rsidRPr="000430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CFA"/>
    <w:rsid w:val="000430B5"/>
    <w:rsid w:val="004516D9"/>
    <w:rsid w:val="00EF0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7332F1-8D40-45FD-9C81-056B3BB42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Gustavo Garcia</dc:creator>
  <cp:keywords/>
  <dc:description/>
  <cp:lastModifiedBy>Carlos Gustavo Garcia</cp:lastModifiedBy>
  <cp:revision>3</cp:revision>
  <dcterms:created xsi:type="dcterms:W3CDTF">2021-07-06T21:50:00Z</dcterms:created>
  <dcterms:modified xsi:type="dcterms:W3CDTF">2021-07-06T21:51:00Z</dcterms:modified>
</cp:coreProperties>
</file>